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F885" w14:textId="4DCAF1A9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Comm</w:t>
      </w:r>
      <w:r w:rsidRPr="00786E9F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i</w:t>
      </w:r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ssione Tributaria Regionale per la Campania Sezione/Collegio 20</w:t>
      </w:r>
    </w:p>
    <w:p w14:paraId="0613EF38" w14:textId="77777777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 xml:space="preserve">Sentenza del 11/03/2022 n. 2509 - Comm. </w:t>
      </w:r>
      <w:proofErr w:type="spellStart"/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Trib</w:t>
      </w:r>
      <w:proofErr w:type="spellEnd"/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. Reg. per la Campania Sezione/Collegio 20</w:t>
      </w:r>
    </w:p>
    <w:p w14:paraId="45CCF635" w14:textId="77777777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</w:p>
    <w:p w14:paraId="685CBC83" w14:textId="77777777" w:rsidR="00786E9F" w:rsidRPr="00786E9F" w:rsidRDefault="00D21E0B" w:rsidP="00546843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b/>
          <w:bCs/>
          <w:color w:val="222222"/>
          <w:szCs w:val="24"/>
          <w:shd w:val="clear" w:color="auto" w:fill="FFFFFF"/>
          <w:lang w:eastAsia="it-IT"/>
        </w:rPr>
        <w:t>SVOLGIMENTO DEL PROCESSO</w:t>
      </w:r>
    </w:p>
    <w:p w14:paraId="3392D523" w14:textId="3C28F27E" w:rsidR="00D21E0B" w:rsidRPr="00D21E0B" w:rsidRDefault="00D21E0B" w:rsidP="00546843">
      <w:pPr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 atto depositato in data 5.7.2021, XXX proponeva appello avverso la sentenza n. 9648/2020, emessa in primo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grado dalla CTP di Napoli, depositata in data 18.12.2020, con cui la Commissione aveva rigettato il ricorso dalla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medesima proposto avverso avviso di liquidazione notificato in data 28.8.2019. Con tale avviso, l'Agenzia delle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Entrate aveva recuperato a tassazione l'imposta ipotecaria e catastale relativa alla costituzione di vincolo di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destinazione sui beni oggetto del TRUST autodichiarato in atto del notaio XXX, registrato in data 16.2.2017 al numero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XXX serie XX. Di fatto, con tale atto, ad avviso dell'ufficio, la disponente Sig.ra XXX aveva trasferito la proprietà degli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immobili alla propria madre XXX. A fondamento del ricorso, la contribuente aveva dedotto che, nell'ipotesi di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TRUST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autodichiarato, il trasferimento dei beni e dei diritti deve essere tassato unicamente al momento del concretizzarsi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dell'effettivo arricchimento in capo al beneficiario. Ad avviso della parte, non essendosi realizzato un trasferimento di</w:t>
      </w:r>
      <w:r w:rsidR="00786E9F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beni e diritti, doveva trovare applicazione unicamente l'imposta fissa, dal momento che i beni apportati rimangono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all'interno della sfera giuridica del disponente. Precisava che l'obiettivo che si pone il TRUST autodichiarato consiste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nella temporanea preservazione del patrimonio a mezzo della sua segregazione sino al trasferimento vero e proprio a</w:t>
      </w:r>
      <w:r w:rsidR="00786E9F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favore del beneficiario. Ciò premesso, la parte aveva chiesto l'annullamento dell'avviso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impugnato, in quanto ritenuto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illegittimo. L'Agenzia delle Entrate si era costituita nel corso del giudizio di primo grado, ribadendo la legittimità del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proprio operato, con conseguente applicazione delle imposte in misura proporzionale e non fissa, affermando che la</w:t>
      </w:r>
      <w:r w:rsidR="00786E9F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costituzione del TRUST avesse un intento munifico, anche tenuto conto del rapporto di parentela fra l'esponente e il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beneficiario (madre e figlia). Con sentenza di primo grado, i giudici avevano rigettato il ricorso, ritenendo che: "la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disponente XXX, oltre all' effetto segregativo ottenuto con il conferimento dei beni nel trust, ha trasferito la proprietà</w:t>
      </w:r>
      <w:r w:rsidR="00786E9F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degli immobili alla propria madre XXX. L'operazione rileva al momento della segregazione nel trust". Veniva disposta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la compensazione delle spese giudiziali.</w:t>
      </w:r>
    </w:p>
    <w:p w14:paraId="23078086" w14:textId="77777777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0F85E050" w14:textId="77777777" w:rsidR="00786E9F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Avverso la predetta sentenza, proponeva appello la contribuente, che si doleva della statuizione della sentenza di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primo grado, chiedendo annullarsi l'atto impositivo, con vittoria delle spese di giudizio. L'Agenzia delle Entrate si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costituiva in giudizio, affermando che, nel caso di specie, era presente un intento munifico in favore del beneficiario,</w:t>
      </w:r>
      <w:r w:rsidR="00786E9F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eccedente rispetto a quello di creazione di un vincolo. Tal ulteriore intento, non costituente elemento tipico dell'atto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costituivo di trust, giustificava, ad avviso dell'ufficio, l'applicazione dell'imposta proporzionale, propria degli atti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dispositivi, anziché quella fissa prevista per gli atti costitutivi di trust. Chiedeva, pertanto, la conferma dell'impugnata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sentenza, con vittoria delle spese di giudizio. A seguito della Camera di Consiglio tenutasi in data 10.3.2022, la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Commissione riservava la causa per la decisione.</w:t>
      </w:r>
    </w:p>
    <w:p w14:paraId="5CCBFBC8" w14:textId="77777777" w:rsidR="00786E9F" w:rsidRPr="00D21E0B" w:rsidRDefault="00786E9F" w:rsidP="00786E9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6447B8B8" w14:textId="77777777" w:rsidR="00786E9F" w:rsidRPr="00786E9F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MOTIVI DELLA DECISIONE</w:t>
      </w:r>
    </w:p>
    <w:p w14:paraId="7647680F" w14:textId="504E3B59" w:rsidR="00546843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Osserva la Commissione che l'appello è infondato. Prima di trattare la questione oggetto di controversia, s'intendono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fornire alcuni chiarimenti esplicativi sia sulla nozione di trust autodichiarato che sulla normativa che lo regolamenta e,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infine, sugli orientamenti giurisprudenziali circa il regime fiscale cui tale istituto è assoggettato. Il trust è un istituto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giuridico che consente di proteggere i propri beni, e contestualmente, di continuare a gestirli affinché ne possano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godere i beneficiari. Con esso, si concretizza un'entità patrimoniale costituita da un insieme di rapporti giuridici istituiti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da una persona, il disponente, in rapporto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lastRenderedPageBreak/>
        <w:t>a beni posti sotto il controllo di un trustee, nell'interesse di un beneficiario 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per un fine determinato. Generalmente, il trust prevede la presenza di tre soggetti: colui che costituisce il trust,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definito disponente o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settlor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. I beni del disponente, che assumeranno successivamente il nome di fondo in trust,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vengono affidati ad un secondo soggetto per la gestione, chiamato trustee. Infine, a godere dei frutti che scaturiscono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dal trust sono uno o più beneficiari. Fra le diverse forme di trust, sussiste il cd. trust autodichiarato, nel quale il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disponente svolge sia il ruolo di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settlor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che quello di trustee, nominando </w:t>
      </w:r>
      <w:proofErr w:type="gram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</w:t>
      </w:r>
      <w:proofErr w:type="gram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stesso come persona incaricata del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controllo dei beni. Quindi, dopo la costituzione del trust, non c'è nessun trasferimento di beni in capo ad un altro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soggetto diverso dal disponente, anche se i beni che il disponente ha assoggettato al trust vengono sostanzialmente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separati dal resto del patrimonio per essere protetti. In tale modo, il disponente dà a questa fetta di beni un vincolo di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destinazione che lui stesso ha dichiarato, da cui il nome dell'istituto "trust autodichiarato", assumendo l'obbligo di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gestirli secondo quanto stabilisce l'atto costitutivo del trust e tenendo ben presente l'interesse dei beneficiari finali. Il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trust autodichiarato ha una rilevante applicazione in campo familiare, consentendo ad un genitore di dare vita al trust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per beneficiare uno o più figli e creare un fondo in loro favore. Va anche chiarito che l'istituto del trust è stato previsto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dall'art. 2 della Convenzione dell'Aja del luglio 1985, resa esecutiva in Italia con legge 16 ottobre 1989, n. 364. La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normativa sul trust (segnatamente, l'art. 2, comma 47, del D.L. 3 ottobre 2006, n. 262, convertito, con modificazioni,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dalla legge 24 novembre 2006) n. 286, art. 1, commi da 77 a 79, dalla legge 27 dicembre 2006, n. 296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–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legg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e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finanziaria per il 2007 - art 1, comma 31, della legge 24 dicembre 2007, n. 244 - legge finanziaria per il 2008 -)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prescrive che "è istituita l'imposta sulle successioni e donazioni sui trasferimenti di beni e diritti per causa di morte,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per donazione o a titolo gratuito e sulla costituzione di vincoli di destinazione, secondo le disposizioni del testo unico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concernenti l'imposta sulle successioni e donazioni, di cui al , nel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D.Lgs.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31 ottobre 1990, n. 346 testo vigente all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a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data del 24 ottobre 2001, fatto salvo quanto previsto dai commi da 48 a 54". Ciò detto, qualora il trasferimento 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favore del trustee sia comunque temporaneo e strumentale alla realizzazione delle finalità del trust, all'atto di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dotazione di trust non sono applicabili né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l'imposta sulle successioni e donazioni, né l'imposta di registro, né l'imposta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catastale e ipotecaria, se non eventualmente in misura fissa. Quando, invece, interviene l'attribuzione finale dei beni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ai beneficiari, si determina il presupposto per l'applicazione delle imposte in misura proporzionale. La Suprema Corte,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d'altro canto, è incline a riconoscere la validità e l'efficacia del trust autodichiarato in presenza delle seguenti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condizioni:</w:t>
      </w:r>
    </w:p>
    <w:p w14:paraId="5D110F62" w14:textId="77777777" w:rsidR="00546843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117E71A2" w14:textId="69E8BECF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l'atto istitutivo deve essere strutturato in modo tale da impedire al disponente-trustee di gestire a suo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piacimento i beni in trust;</w:t>
      </w:r>
    </w:p>
    <w:p w14:paraId="55DBEFD6" w14:textId="77777777" w:rsidR="00546843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66A1D05B" w14:textId="77777777" w:rsidR="00546843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la concreta operatività del trust deve essere pienamente conforme alle previsioni negoziali;</w:t>
      </w:r>
    </w:p>
    <w:p w14:paraId="0CFEBB5E" w14:textId="77777777" w:rsidR="00546843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5BCD76DD" w14:textId="0DD22E51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non deve trattarsi di trust interposto. Ciò premesso, occorre verificare se l'atto dispositivo sottoposto 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tassazione perseguisse solo la finalità "segregatoria" e protettiva dei beni inclusi nel trust o, altresì, una funzione di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trasferimento di beni e diritti, tale da giustificare l'applicazione dell'imposta in misura proporzionale. Si osserva che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l'atto sottoposto a tassazione ha natura sostanzialmente traslativa e che ciò giustifica la sottoposizione alla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tassazione che è stata applicata. Occorre infatti valutare se, sin dall'istituzione del "trust", si sia realizzato un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trasferimento definitivo di beni e diritti dal "trustee" al beneficiario, mediante un'attribuzione patrimoniale stabile e non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meramente strumentale. In mancanza di tale condizione, l'atto dovrà essere assoggettato alla sola imposta fissa di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registro (Cass., Sez. 5, n. 31445 del 05/12/2018; Sez. </w:t>
      </w:r>
      <w:proofErr w:type="spellStart"/>
      <w:proofErr w:type="gram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5,p</w:t>
      </w:r>
      <w:proofErr w:type="spellEnd"/>
      <w:proofErr w:type="gram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7n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. 16699 del 21/06/2019).</w:t>
      </w:r>
    </w:p>
    <w:p w14:paraId="338CD8B2" w14:textId="77777777" w:rsidR="00546843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551AA7F8" w14:textId="77777777" w:rsidR="00546843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lastRenderedPageBreak/>
        <w:t>La Cassazione ha enunciato il principio secondo cui, sin da subito, è possibile valutare se il disponente abbia inteso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realizzare la finalità di trasferimento dei beni in favore del beneficiario, che è ravvisabile allorché non si preveda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affatto il ritorno dei beni in capo al disponente. In questi casi, qualora sia individuabile un effetto traslativo immediato,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realizzato in via diretta e senza alcuna volontà di segregazione/destinazione, non viene realizzata la causa negoziale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del trust e l'atto va riqualificato secondo la sua reale natura. Nel caso in esame, la XXX, quale disponente, ha istituito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un fondo speciale gravato da vincolo di destinazione, in relazione ai bisogni della madre della disponente, Signora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XXX, fissandosi la durata del vincolo di destinazione al 31 dicembre 2030.</w:t>
      </w:r>
    </w:p>
    <w:p w14:paraId="715BF28F" w14:textId="77777777" w:rsidR="00546843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Al termine del vincolo di destinazione, è stato previsto il trasferimento della proprietà dei beni alla madre della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disponente, senza alcuna possibilità di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ri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-trasferimento in favore del disponente. Pertanto, sin dal momento costituivo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del trust si evidenzia una volontà di trasferimento dei beni, ben eccedente quella meramente protettiva/segregatoria,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 conseguente applicazione immediata dell'imposta proporzionale. Appare confutabile la deduzione difensiva,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secondo cui l'imposta di donazione non si applica nel momento in cui viene istituito il vincolo di destinazione, bensì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solo quando si verifica l'incremento patrimoniale, atteso che è già perfettamente enucleabile la volontà di operare il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trasferimento e che lo stesso avverrà automaticamente, senza il compimento di alcun ulteriore atto, alla scadenza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temporale prevista. Pertanto, l'avviso di rettifica e liquidazione impugnato è stato legittimamente emesso. Nell'atto di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Appello, la contribuente scrive che "nel caso di specie, va peraltro sottolineato che l'interpretazione di Giudici di prime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cure che l'atto dispositivo del trust abbia esplicitato effetti traslativi oltre che segregativi…, è… sconfessata dai fatti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concreti, in quanto con atto del 31 marzo 2021 per notaio XXX, registrato a Napoli - DPI - XX in data 7 aprile 2021 al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numero XXX - serie XX, la disponente XXX ha revocato con effetto immediato il vincolo di destinazione gravante su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tutti gli immobili oggetto del trust, con conseguente cessazione del vincolo di destinazione stesso. Prova definitiva ed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inoppugnabile che mai si era realizzato un effetto traslativo assoggettabile all'imposizione e che pertanto, anche nel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caso concreto, viene a mancare ogni presupposto di tassazione dell'atto dispositivo del trust, mai trasformatosi in un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trasferimento al beneficiario, e infine revocato". In realtà, a giudizio della Commissione, l'avvenuta revoca,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contrariamente da quanto asserito dalla contribuente appellante, rappresenterebbe l'esatto opposto, ossia la "prova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definitiva ed inoppugnabile" che tale vincolo di destinazione, al momento della pronuncia della sentenza di primo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grado, sussisteva. Perché mai, altrimenti, l'appellante avrebbe effettuato tale revoca? E come mai avrebbero potuto 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Giudici pervenire a una diversa pronuncia, se tale atto di revoca, al momento della sentenza, non era ancora stato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realizzato? u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00C8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 vero che l'intervenuta revoca fa ora venire meno il presupposto dell'atto impositivo, ma ciò non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leva che la sentenza di primo grado - sulla quale unicamente, in ragione del divieto di "ius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novorum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", la presente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Commissione è tenuta a pronunciarsi - era valida, dal momento che, quando è stata emessa, l'atto impositivo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appariva pienamente fondato, e che il cambiamento della situazione patrimoniale, ai fini della tassabilità, è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intervenuto solo in un secondo momento, evidentemente a seguito dell'accertamento dell'ufficio fiscale e della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successiva sentenza. Le spese seguono la soccombenza.</w:t>
      </w:r>
    </w:p>
    <w:p w14:paraId="7FD86F1F" w14:textId="77777777" w:rsidR="00546843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019545EE" w14:textId="74330F22" w:rsidR="00546843" w:rsidRPr="00786E9F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P.Q.M.</w:t>
      </w:r>
    </w:p>
    <w:p w14:paraId="055F542A" w14:textId="0C73FEA2" w:rsid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 xml:space="preserve">La Commissione Tributaria Regionale, Sezione </w:t>
      </w:r>
      <w:proofErr w:type="spellStart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n.20</w:t>
      </w:r>
      <w:proofErr w:type="spellEnd"/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, definitivamente pronunziando sull'appello in epigrafe indicato,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così provvede:</w:t>
      </w:r>
    </w:p>
    <w:p w14:paraId="58FC47D2" w14:textId="77777777" w:rsidR="00546843" w:rsidRPr="00D21E0B" w:rsidRDefault="00546843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</w:p>
    <w:p w14:paraId="352C8A27" w14:textId="258E6FE5" w:rsidR="00D21E0B" w:rsidRPr="00D21E0B" w:rsidRDefault="00D21E0B" w:rsidP="005468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Rigetta l'appello. Condanna l'appellante alle spese di giudizio, che liquida in euro 400,00 (quattrocento), oltre oneri</w:t>
      </w:r>
      <w:r w:rsidR="00546843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D21E0B">
        <w:rPr>
          <w:rFonts w:ascii="Arial" w:eastAsia="Times New Roman" w:hAnsi="Arial" w:cs="Arial"/>
          <w:color w:val="222222"/>
          <w:szCs w:val="24"/>
          <w:lang w:eastAsia="it-IT"/>
        </w:rPr>
        <w:t>accessori, come per legge.</w:t>
      </w:r>
    </w:p>
    <w:p w14:paraId="2C6AEA58" w14:textId="77777777" w:rsidR="00E97E7C" w:rsidRDefault="00E97E7C" w:rsidP="00546843">
      <w:pPr>
        <w:jc w:val="both"/>
      </w:pPr>
    </w:p>
    <w:sectPr w:rsidR="00E97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0B"/>
    <w:rsid w:val="00546843"/>
    <w:rsid w:val="00786E9F"/>
    <w:rsid w:val="00D21E0B"/>
    <w:rsid w:val="00DE4107"/>
    <w:rsid w:val="00E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F91B"/>
  <w15:chartTrackingRefBased/>
  <w15:docId w15:val="{7F4FC833-F6CA-42F2-8A5E-B845E79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Giampietri</dc:creator>
  <cp:keywords/>
  <dc:description/>
  <cp:lastModifiedBy>Martina Giampietri</cp:lastModifiedBy>
  <cp:revision>2</cp:revision>
  <dcterms:created xsi:type="dcterms:W3CDTF">2022-07-27T17:17:00Z</dcterms:created>
  <dcterms:modified xsi:type="dcterms:W3CDTF">2022-07-27T17:37:00Z</dcterms:modified>
</cp:coreProperties>
</file>